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BC" w:rsidRDefault="005D1ABC">
      <w:pPr>
        <w:pStyle w:val="CorpsA"/>
        <w:jc w:val="center"/>
        <w:rPr>
          <w:b/>
          <w:bCs/>
          <w:sz w:val="28"/>
          <w:szCs w:val="28"/>
        </w:rPr>
      </w:pPr>
    </w:p>
    <w:p w:rsidR="005D1ABC" w:rsidRDefault="005D1ABC">
      <w:pPr>
        <w:pStyle w:val="CorpsA"/>
        <w:jc w:val="center"/>
        <w:rPr>
          <w:b/>
          <w:bCs/>
          <w:sz w:val="28"/>
          <w:szCs w:val="28"/>
        </w:rPr>
      </w:pPr>
    </w:p>
    <w:p w:rsidR="005D1ABC" w:rsidRDefault="005D1ABC">
      <w:pPr>
        <w:pStyle w:val="CorpsA"/>
        <w:jc w:val="center"/>
        <w:rPr>
          <w:b/>
          <w:bCs/>
          <w:sz w:val="28"/>
          <w:szCs w:val="28"/>
        </w:rPr>
      </w:pPr>
    </w:p>
    <w:p w:rsidR="005D1ABC" w:rsidRDefault="005D1ABC">
      <w:pPr>
        <w:pStyle w:val="CorpsA"/>
        <w:jc w:val="center"/>
        <w:rPr>
          <w:b/>
          <w:bCs/>
          <w:sz w:val="28"/>
          <w:szCs w:val="28"/>
        </w:rPr>
      </w:pPr>
    </w:p>
    <w:p w:rsidR="005D1ABC" w:rsidRDefault="005D1ABC">
      <w:pPr>
        <w:pStyle w:val="CorpsA"/>
        <w:jc w:val="center"/>
        <w:rPr>
          <w:b/>
          <w:bCs/>
          <w:sz w:val="28"/>
          <w:szCs w:val="28"/>
        </w:rPr>
      </w:pPr>
    </w:p>
    <w:p w:rsidR="00A97AA0" w:rsidRDefault="00A97AA0">
      <w:pPr>
        <w:pStyle w:val="CorpsA"/>
        <w:jc w:val="center"/>
        <w:rPr>
          <w:b/>
          <w:bCs/>
          <w:sz w:val="28"/>
          <w:szCs w:val="28"/>
        </w:rPr>
      </w:pPr>
    </w:p>
    <w:p w:rsidR="005D1ABC" w:rsidRDefault="003150CC">
      <w:pPr>
        <w:pStyle w:val="CorpsA"/>
        <w:jc w:val="center"/>
        <w:rPr>
          <w:b/>
          <w:bCs/>
          <w:sz w:val="28"/>
          <w:szCs w:val="28"/>
        </w:rPr>
      </w:pPr>
      <w:bookmarkStart w:id="0" w:name="_GoBack"/>
      <w:bookmarkEnd w:id="0"/>
      <w:r w:rsidRPr="003150CC">
        <w:rPr>
          <w:b/>
          <w:bCs/>
          <w:sz w:val="28"/>
          <w:szCs w:val="28"/>
        </w:rPr>
        <w:t xml:space="preserve">REUNION DE VALIDATION DES PROJETS DE RAPPORTS FINAUX DE L’ETUDE SUR L’ITINERANCE DANS LA CEDEAO ET DE </w:t>
      </w:r>
      <w:r>
        <w:rPr>
          <w:b/>
          <w:bCs/>
          <w:sz w:val="28"/>
          <w:szCs w:val="28"/>
        </w:rPr>
        <w:t>L’</w:t>
      </w:r>
      <w:r w:rsidRPr="003150CC">
        <w:rPr>
          <w:b/>
          <w:bCs/>
          <w:sz w:val="28"/>
          <w:szCs w:val="28"/>
        </w:rPr>
        <w:t>ETUDE DES LIAISONS MANQUANTES ET LE PARTAGE D’INFRASTRUCTURES</w:t>
      </w:r>
      <w:r w:rsidR="00A02433">
        <w:rPr>
          <w:b/>
          <w:bCs/>
          <w:sz w:val="28"/>
          <w:szCs w:val="28"/>
        </w:rPr>
        <w:t xml:space="preserve"> </w:t>
      </w:r>
    </w:p>
    <w:p w:rsidR="005D1ABC" w:rsidRDefault="005D1ABC">
      <w:pPr>
        <w:pStyle w:val="CorpsA"/>
        <w:spacing w:after="120"/>
        <w:jc w:val="both"/>
        <w:rPr>
          <w:b/>
          <w:bCs/>
        </w:rPr>
      </w:pPr>
    </w:p>
    <w:p w:rsidR="005D1ABC" w:rsidRDefault="00A02433">
      <w:pPr>
        <w:pStyle w:val="CorpsA"/>
        <w:spacing w:after="120"/>
        <w:jc w:val="both"/>
      </w:pPr>
      <w:r>
        <w:rPr>
          <w:b/>
          <w:bCs/>
        </w:rPr>
        <w:t xml:space="preserve">Lomé, le </w:t>
      </w:r>
      <w:r w:rsidR="003150CC">
        <w:rPr>
          <w:b/>
          <w:bCs/>
        </w:rPr>
        <w:t>22</w:t>
      </w:r>
      <w:r>
        <w:rPr>
          <w:b/>
          <w:bCs/>
        </w:rPr>
        <w:t xml:space="preserve"> Mai 2017 – </w:t>
      </w:r>
      <w:r w:rsidR="003150CC">
        <w:rPr>
          <w:rFonts w:hAnsi="Times New Roman"/>
        </w:rPr>
        <w:t>Le Ministre des Postes et de l</w:t>
      </w:r>
      <w:r w:rsidR="003150CC">
        <w:rPr>
          <w:rFonts w:hAnsi="Times New Roman"/>
        </w:rPr>
        <w:t>’</w:t>
      </w:r>
      <w:r w:rsidR="003150CC">
        <w:rPr>
          <w:rFonts w:hAnsi="Times New Roman"/>
        </w:rPr>
        <w:t>Economie Num</w:t>
      </w:r>
      <w:r w:rsidR="003150CC">
        <w:rPr>
          <w:rFonts w:hAnsi="Times New Roman"/>
        </w:rPr>
        <w:t>é</w:t>
      </w:r>
      <w:r w:rsidR="003150CC">
        <w:rPr>
          <w:rFonts w:hAnsi="Times New Roman"/>
        </w:rPr>
        <w:t>rique proc</w:t>
      </w:r>
      <w:r w:rsidR="003150CC">
        <w:rPr>
          <w:rFonts w:hAnsi="Times New Roman"/>
        </w:rPr>
        <w:t>è</w:t>
      </w:r>
      <w:r w:rsidR="003150CC">
        <w:rPr>
          <w:rFonts w:hAnsi="Times New Roman"/>
        </w:rPr>
        <w:t xml:space="preserve">de </w:t>
      </w:r>
      <w:r w:rsidR="003150CC" w:rsidRPr="003150CC">
        <w:rPr>
          <w:rFonts w:hAnsi="Times New Roman"/>
        </w:rPr>
        <w:t>à</w:t>
      </w:r>
      <w:r w:rsidR="003150CC" w:rsidRPr="003150CC">
        <w:rPr>
          <w:rFonts w:hAnsi="Times New Roman"/>
        </w:rPr>
        <w:t xml:space="preserve"> l</w:t>
      </w:r>
      <w:r w:rsidR="003150CC" w:rsidRPr="003150CC">
        <w:rPr>
          <w:rFonts w:hAnsi="Times New Roman"/>
        </w:rPr>
        <w:t>’</w:t>
      </w:r>
      <w:r w:rsidR="003150CC" w:rsidRPr="003150CC">
        <w:rPr>
          <w:rFonts w:hAnsi="Times New Roman"/>
        </w:rPr>
        <w:t>ouverture de la r</w:t>
      </w:r>
      <w:r w:rsidR="003150CC" w:rsidRPr="003150CC">
        <w:rPr>
          <w:rFonts w:hAnsi="Times New Roman"/>
        </w:rPr>
        <w:t>é</w:t>
      </w:r>
      <w:r w:rsidR="003150CC" w:rsidRPr="003150CC">
        <w:rPr>
          <w:rFonts w:hAnsi="Times New Roman"/>
        </w:rPr>
        <w:t>union de validation des projets de rapports finaux, de l</w:t>
      </w:r>
      <w:r w:rsidR="003150CC" w:rsidRPr="003150CC">
        <w:rPr>
          <w:rFonts w:hAnsi="Times New Roman"/>
        </w:rPr>
        <w:t>’é</w:t>
      </w:r>
      <w:r w:rsidR="003150CC" w:rsidRPr="003150CC">
        <w:rPr>
          <w:rFonts w:hAnsi="Times New Roman"/>
        </w:rPr>
        <w:t>tude sur l</w:t>
      </w:r>
      <w:r w:rsidR="003150CC" w:rsidRPr="003150CC">
        <w:rPr>
          <w:rFonts w:hAnsi="Times New Roman"/>
        </w:rPr>
        <w:t>’</w:t>
      </w:r>
      <w:r w:rsidR="003150CC" w:rsidRPr="003150CC">
        <w:rPr>
          <w:rFonts w:hAnsi="Times New Roman"/>
        </w:rPr>
        <w:t>itin</w:t>
      </w:r>
      <w:r w:rsidR="003150CC" w:rsidRPr="003150CC">
        <w:rPr>
          <w:rFonts w:hAnsi="Times New Roman"/>
        </w:rPr>
        <w:t>é</w:t>
      </w:r>
      <w:r w:rsidR="003150CC" w:rsidRPr="003150CC">
        <w:rPr>
          <w:rFonts w:hAnsi="Times New Roman"/>
        </w:rPr>
        <w:t>rance dans la CEDEAO ainsi que de l</w:t>
      </w:r>
      <w:r w:rsidR="003150CC" w:rsidRPr="003150CC">
        <w:rPr>
          <w:rFonts w:hAnsi="Times New Roman"/>
        </w:rPr>
        <w:t>’é</w:t>
      </w:r>
      <w:r w:rsidR="003150CC" w:rsidRPr="003150CC">
        <w:rPr>
          <w:rFonts w:hAnsi="Times New Roman"/>
        </w:rPr>
        <w:t>tude des liaisons manquantes et le partage d</w:t>
      </w:r>
      <w:r w:rsidR="003150CC" w:rsidRPr="003150CC">
        <w:rPr>
          <w:rFonts w:hAnsi="Times New Roman"/>
        </w:rPr>
        <w:t>’</w:t>
      </w:r>
      <w:r w:rsidR="003150CC" w:rsidRPr="003150CC">
        <w:rPr>
          <w:rFonts w:hAnsi="Times New Roman"/>
        </w:rPr>
        <w:t>infrastructures</w:t>
      </w:r>
      <w:r>
        <w:rPr>
          <w:rFonts w:ascii="Times New Roman"/>
        </w:rPr>
        <w:t>.</w:t>
      </w:r>
    </w:p>
    <w:p w:rsidR="005D1ABC" w:rsidRDefault="005D1ABC">
      <w:pPr>
        <w:pStyle w:val="CorpsA"/>
        <w:spacing w:after="120"/>
        <w:jc w:val="both"/>
      </w:pPr>
    </w:p>
    <w:p w:rsidR="003150CC" w:rsidRDefault="003150CC" w:rsidP="003150CC">
      <w:pPr>
        <w:pStyle w:val="CorpsA"/>
        <w:spacing w:after="120"/>
        <w:jc w:val="both"/>
      </w:pPr>
      <w:r>
        <w:t xml:space="preserve">La Communauté Economique des Etat d’Afrique de l’Ouest (CEDEAO) réunissant quinze (15) de nos Etats d’Afrique, est </w:t>
      </w:r>
      <w:r w:rsidRPr="003150CC">
        <w:t>destinée à coordonner les actions des pays de l’Afrique de l'Ouest</w:t>
      </w:r>
      <w:r>
        <w:t xml:space="preserve"> pour établir un marché commun supprimant les obstacles entravant la libre circulation des personnes, des biens, des services et des capitaux. </w:t>
      </w:r>
    </w:p>
    <w:p w:rsidR="003150CC" w:rsidRDefault="003150CC" w:rsidP="003150CC">
      <w:pPr>
        <w:pStyle w:val="CorpsA"/>
        <w:spacing w:after="120"/>
        <w:jc w:val="both"/>
      </w:pPr>
      <w:r>
        <w:t xml:space="preserve">Pour mettre en place ce marché unique, dans le secteur des télécommunications, l’ambition est d’interconnecter nos Etats ainsi que de mettre en place et maintenir un réseau panafricain de télécommunications en Afrique de l’Ouest. </w:t>
      </w:r>
    </w:p>
    <w:p w:rsidR="005D1ABC" w:rsidRDefault="003150CC" w:rsidP="003150CC">
      <w:pPr>
        <w:pStyle w:val="CorpsA"/>
        <w:spacing w:after="120"/>
        <w:jc w:val="both"/>
      </w:pPr>
      <w:r>
        <w:t>En ce sens, la CEDEAO œuvre sur deux axes principaux à savoir l’harmonisation des politiques et du cadre réglementaire en matière de TIC ainsi que le développement des infrastructures à large bande.</w:t>
      </w:r>
    </w:p>
    <w:p w:rsidR="003150CC" w:rsidRDefault="003150CC" w:rsidP="003150CC">
      <w:pPr>
        <w:pStyle w:val="CorpsA"/>
        <w:spacing w:after="120"/>
        <w:jc w:val="both"/>
      </w:pPr>
      <w:r>
        <w:t xml:space="preserve">Pour ce faire, deux études relatives à </w:t>
      </w:r>
      <w:r w:rsidR="005958EF" w:rsidRPr="005958EF">
        <w:t xml:space="preserve">l’itinérance dans la CEDEAO ainsi </w:t>
      </w:r>
      <w:r w:rsidR="005958EF">
        <w:t>qu’aux</w:t>
      </w:r>
      <w:r w:rsidR="005958EF" w:rsidRPr="005958EF">
        <w:t xml:space="preserve"> liaisons manquantes et le partage d’infrastructures</w:t>
      </w:r>
      <w:r w:rsidR="005958EF">
        <w:t xml:space="preserve"> ont été réalisées pour définir des recommandations en la matière. </w:t>
      </w:r>
    </w:p>
    <w:p w:rsidR="005958EF" w:rsidRDefault="005958EF" w:rsidP="003150CC">
      <w:pPr>
        <w:pStyle w:val="CorpsA"/>
        <w:spacing w:after="120"/>
        <w:jc w:val="both"/>
      </w:pPr>
      <w:r>
        <w:t>Les 7 et 8 décembre dernier s’est tenue à Abidjan, une réunion d’examen et de validation des rapports intermédiaires afférents à ces études, à laquelle la réunion de ce jour fait suite.</w:t>
      </w:r>
    </w:p>
    <w:p w:rsidR="005958EF" w:rsidRDefault="005958EF" w:rsidP="003150CC">
      <w:pPr>
        <w:pStyle w:val="CorpsA"/>
        <w:spacing w:after="120"/>
        <w:jc w:val="both"/>
      </w:pPr>
      <w:r>
        <w:t>Il est à préciser qu’au cours de ces dernières années, de nombreuses</w:t>
      </w:r>
      <w:r w:rsidRPr="005958EF">
        <w:t xml:space="preserve"> réalisations ont été accomplies dans l'espace C</w:t>
      </w:r>
      <w:r>
        <w:t>EDEAO</w:t>
      </w:r>
      <w:r w:rsidRPr="005958EF">
        <w:t xml:space="preserve"> </w:t>
      </w:r>
      <w:r>
        <w:t xml:space="preserve">notamment au Togo pour concrétiser ce marché unique des TIC. Ainsi, nous apprécions désormais </w:t>
      </w:r>
      <w:r w:rsidRPr="005958EF">
        <w:t xml:space="preserve">l'arrivée de câbles sous-marins </w:t>
      </w:r>
      <w:r>
        <w:t>avec la construction d’un point d’atterrissement assurant l’accès à l’internet très haut débit, la mise en place d’un</w:t>
      </w:r>
      <w:r w:rsidRPr="005958EF">
        <w:t xml:space="preserve"> </w:t>
      </w:r>
      <w:r>
        <w:t>opérateur</w:t>
      </w:r>
      <w:r w:rsidRPr="005958EF">
        <w:t xml:space="preserve"> d'infrastructures à large bande</w:t>
      </w:r>
      <w:r>
        <w:t>, et</w:t>
      </w:r>
      <w:r w:rsidRPr="005958EF">
        <w:t xml:space="preserve"> </w:t>
      </w:r>
      <w:r>
        <w:t xml:space="preserve">depuis le 31 mars 2017, la suppression des frais d’itinérance dans </w:t>
      </w:r>
      <w:r w:rsidR="00350919">
        <w:t>sept</w:t>
      </w:r>
      <w:r>
        <w:t xml:space="preserve"> (</w:t>
      </w:r>
      <w:r w:rsidR="00350919">
        <w:t>7</w:t>
      </w:r>
      <w:r>
        <w:t xml:space="preserve">) Etats de la CEDEAO (l’initiative « free </w:t>
      </w:r>
      <w:proofErr w:type="spellStart"/>
      <w:r>
        <w:t>roaming</w:t>
      </w:r>
      <w:proofErr w:type="spellEnd"/>
      <w:r>
        <w:t> »)</w:t>
      </w:r>
      <w:r w:rsidR="00350919">
        <w:t xml:space="preserve"> à savoir le Sénégal, le Burkina Faso, la Guinée, le Mali, le Togo et bientôt le Sierra Leone et la Côte d’Ivoire</w:t>
      </w:r>
      <w:r>
        <w:t xml:space="preserve">. </w:t>
      </w:r>
    </w:p>
    <w:p w:rsidR="00A97AA0" w:rsidRDefault="00A97AA0" w:rsidP="003150CC">
      <w:pPr>
        <w:pStyle w:val="CorpsA"/>
        <w:spacing w:after="120"/>
        <w:jc w:val="both"/>
      </w:pPr>
      <w:r>
        <w:t xml:space="preserve">En ce sens, nous encourageons les Etats membres de la CEDEAO restant à adhérer au Protocole d’Abidjan pour que le free </w:t>
      </w:r>
      <w:proofErr w:type="spellStart"/>
      <w:r>
        <w:t>roaming</w:t>
      </w:r>
      <w:proofErr w:type="spellEnd"/>
      <w:r>
        <w:t xml:space="preserve"> soit élargi à toute la sous-région. </w:t>
      </w:r>
    </w:p>
    <w:p w:rsidR="005958EF" w:rsidRDefault="005958EF" w:rsidP="003150CC">
      <w:pPr>
        <w:pStyle w:val="CorpsA"/>
        <w:spacing w:after="120"/>
        <w:jc w:val="both"/>
      </w:pPr>
    </w:p>
    <w:p w:rsidR="005D1ABC" w:rsidRDefault="00A02433">
      <w:pPr>
        <w:pStyle w:val="CorpsA"/>
        <w:spacing w:after="120"/>
        <w:jc w:val="both"/>
      </w:pPr>
      <w:r>
        <w:rPr>
          <w:b/>
          <w:bCs/>
        </w:rPr>
        <w:t>Contact presse</w:t>
      </w:r>
      <w:r>
        <w:rPr>
          <w:rFonts w:ascii="Times New Roman"/>
        </w:rPr>
        <w:t xml:space="preserve"> : </w:t>
      </w:r>
      <w:proofErr w:type="spellStart"/>
      <w:r>
        <w:rPr>
          <w:rFonts w:ascii="Times New Roman"/>
        </w:rPr>
        <w:t>Delali</w:t>
      </w:r>
      <w:proofErr w:type="spellEnd"/>
      <w:r>
        <w:rPr>
          <w:rFonts w:ascii="Times New Roman"/>
        </w:rPr>
        <w:t xml:space="preserve"> KUDAWOO</w:t>
      </w:r>
      <w:r>
        <w:rPr>
          <w:rFonts w:hAnsi="Times New Roman"/>
        </w:rPr>
        <w:t> </w:t>
      </w:r>
      <w:r>
        <w:rPr>
          <w:rFonts w:ascii="Times New Roman"/>
        </w:rPr>
        <w:t xml:space="preserve">; delali.kudawoo@numerique.gouv.tg </w:t>
      </w:r>
    </w:p>
    <w:p w:rsidR="005D1ABC" w:rsidRDefault="00A02433">
      <w:pPr>
        <w:pStyle w:val="CorpsA"/>
        <w:jc w:val="both"/>
      </w:pPr>
      <w:r>
        <w:rPr>
          <w:b/>
          <w:bCs/>
        </w:rPr>
        <w:t>Le Ministère des Postes et de l’</w:t>
      </w:r>
      <w:r>
        <w:rPr>
          <w:b/>
          <w:bCs/>
          <w:lang w:val="de-DE"/>
        </w:rPr>
        <w:t>Economie Num</w:t>
      </w:r>
      <w:proofErr w:type="spellStart"/>
      <w:r>
        <w:rPr>
          <w:b/>
          <w:bCs/>
        </w:rPr>
        <w:t>érique</w:t>
      </w:r>
      <w:proofErr w:type="spellEnd"/>
      <w:r>
        <w:rPr>
          <w:rFonts w:ascii="Times New Roman"/>
        </w:rPr>
        <w:t xml:space="preserve"> d</w:t>
      </w:r>
      <w:r>
        <w:rPr>
          <w:rFonts w:hAnsi="Times New Roman"/>
        </w:rPr>
        <w:t>é</w:t>
      </w:r>
      <w:r>
        <w:rPr>
          <w:rFonts w:ascii="Times New Roman"/>
        </w:rPr>
        <w:t xml:space="preserve">finit et coordonne la mise en </w:t>
      </w:r>
      <w:r>
        <w:rPr>
          <w:rFonts w:hAnsi="Times New Roman"/>
        </w:rPr>
        <w:t>œ</w:t>
      </w:r>
      <w:r>
        <w:rPr>
          <w:rFonts w:ascii="Times New Roman"/>
        </w:rPr>
        <w:t>uvre de la politique de l</w:t>
      </w:r>
      <w:r>
        <w:rPr>
          <w:rFonts w:hAnsi="Times New Roman"/>
        </w:rPr>
        <w:t>’</w:t>
      </w:r>
      <w:r>
        <w:rPr>
          <w:rFonts w:ascii="Times New Roman"/>
        </w:rPr>
        <w:t>Etat dans les domaines des postes et de l</w:t>
      </w:r>
      <w:r>
        <w:rPr>
          <w:rFonts w:hAnsi="Times New Roman"/>
        </w:rPr>
        <w:t>’é</w:t>
      </w:r>
      <w:r>
        <w:rPr>
          <w:rFonts w:ascii="Times New Roman"/>
        </w:rPr>
        <w:t>conomie num</w:t>
      </w:r>
      <w:r>
        <w:rPr>
          <w:rFonts w:hAnsi="Times New Roman"/>
        </w:rPr>
        <w:t>é</w:t>
      </w:r>
      <w:r>
        <w:rPr>
          <w:rFonts w:ascii="Times New Roman"/>
        </w:rPr>
        <w:t>rique. A ce titre, il traite des questions relatives au d</w:t>
      </w:r>
      <w:r>
        <w:rPr>
          <w:rFonts w:hAnsi="Times New Roman"/>
        </w:rPr>
        <w:t>é</w:t>
      </w:r>
      <w:r>
        <w:rPr>
          <w:rFonts w:ascii="Times New Roman"/>
        </w:rPr>
        <w:t xml:space="preserve">veloppement et </w:t>
      </w:r>
      <w:r>
        <w:rPr>
          <w:rFonts w:hAnsi="Times New Roman"/>
        </w:rPr>
        <w:t>à</w:t>
      </w:r>
      <w:r>
        <w:rPr>
          <w:rFonts w:ascii="Times New Roman"/>
        </w:rPr>
        <w:t xml:space="preserve"> la promotion des activit</w:t>
      </w:r>
      <w:r>
        <w:rPr>
          <w:rFonts w:hAnsi="Times New Roman"/>
        </w:rPr>
        <w:t>é</w:t>
      </w:r>
      <w:r>
        <w:rPr>
          <w:rFonts w:ascii="Times New Roman"/>
        </w:rPr>
        <w:t xml:space="preserve">s postales et </w:t>
      </w:r>
      <w:r>
        <w:rPr>
          <w:rFonts w:hAnsi="Times New Roman"/>
        </w:rPr>
        <w:t>œ</w:t>
      </w:r>
      <w:r>
        <w:rPr>
          <w:rFonts w:ascii="Times New Roman"/>
        </w:rPr>
        <w:t xml:space="preserve">uvre </w:t>
      </w:r>
      <w:r>
        <w:rPr>
          <w:rFonts w:hAnsi="Times New Roman"/>
        </w:rPr>
        <w:t>à</w:t>
      </w:r>
      <w:r>
        <w:rPr>
          <w:rFonts w:ascii="Times New Roman"/>
        </w:rPr>
        <w:t xml:space="preserve"> la promotion et </w:t>
      </w:r>
      <w:r>
        <w:rPr>
          <w:rFonts w:hAnsi="Times New Roman"/>
        </w:rPr>
        <w:t>à</w:t>
      </w:r>
      <w:r>
        <w:rPr>
          <w:rFonts w:ascii="Times New Roman"/>
        </w:rPr>
        <w:t xml:space="preserve"> la diffusion des technologies de l</w:t>
      </w:r>
      <w:r>
        <w:rPr>
          <w:rFonts w:hAnsi="Times New Roman"/>
        </w:rPr>
        <w:t>’</w:t>
      </w:r>
      <w:r>
        <w:rPr>
          <w:rFonts w:ascii="Times New Roman"/>
        </w:rPr>
        <w:t>information et de la communication (TIC) en vue de l</w:t>
      </w:r>
      <w:r>
        <w:rPr>
          <w:rFonts w:hAnsi="Times New Roman"/>
        </w:rPr>
        <w:t>’é</w:t>
      </w:r>
      <w:r>
        <w:rPr>
          <w:rFonts w:ascii="Times New Roman"/>
        </w:rPr>
        <w:t>mergence du secteur de l</w:t>
      </w:r>
      <w:r>
        <w:rPr>
          <w:rFonts w:hAnsi="Times New Roman"/>
        </w:rPr>
        <w:t>’é</w:t>
      </w:r>
      <w:r>
        <w:rPr>
          <w:rFonts w:ascii="Times New Roman"/>
        </w:rPr>
        <w:t>conomie num</w:t>
      </w:r>
      <w:r>
        <w:rPr>
          <w:rFonts w:hAnsi="Times New Roman"/>
        </w:rPr>
        <w:t>é</w:t>
      </w:r>
      <w:r>
        <w:rPr>
          <w:rFonts w:ascii="Times New Roman"/>
        </w:rPr>
        <w:t>rique.</w:t>
      </w:r>
    </w:p>
    <w:p w:rsidR="005D1ABC" w:rsidRDefault="00A02433">
      <w:pPr>
        <w:pStyle w:val="CorpsA"/>
        <w:jc w:val="both"/>
      </w:pPr>
      <w:r>
        <w:rPr>
          <w:rFonts w:ascii="Times New Roman"/>
        </w:rPr>
        <w:t xml:space="preserve">Depuis 2010, </w:t>
      </w:r>
      <w:proofErr w:type="spellStart"/>
      <w:r>
        <w:rPr>
          <w:rFonts w:ascii="Times New Roman"/>
        </w:rPr>
        <w:t>Cina</w:t>
      </w:r>
      <w:proofErr w:type="spellEnd"/>
      <w:r>
        <w:rPr>
          <w:rFonts w:ascii="Times New Roman"/>
        </w:rPr>
        <w:t xml:space="preserve"> LAWSON occupe les fonctions de Ministre des Postes et de l</w:t>
      </w:r>
      <w:r>
        <w:rPr>
          <w:rFonts w:hAnsi="Times New Roman"/>
        </w:rPr>
        <w:t>’</w:t>
      </w:r>
      <w:r>
        <w:rPr>
          <w:rFonts w:ascii="Times New Roman"/>
          <w:lang w:val="de-DE"/>
        </w:rPr>
        <w:t>Economie Num</w:t>
      </w:r>
      <w:proofErr w:type="spellStart"/>
      <w:r>
        <w:rPr>
          <w:rFonts w:hAnsi="Times New Roman"/>
        </w:rPr>
        <w:t>é</w:t>
      </w:r>
      <w:r>
        <w:rPr>
          <w:rFonts w:ascii="Times New Roman"/>
        </w:rPr>
        <w:t>rique</w:t>
      </w:r>
      <w:proofErr w:type="spellEnd"/>
      <w:r>
        <w:rPr>
          <w:rFonts w:ascii="Times New Roman"/>
        </w:rPr>
        <w:t xml:space="preserve">. </w:t>
      </w:r>
    </w:p>
    <w:sectPr w:rsidR="005D1ABC" w:rsidSect="00A97AA0">
      <w:footerReference w:type="default" r:id="rId7"/>
      <w:headerReference w:type="first" r:id="rId8"/>
      <w:pgSz w:w="11900" w:h="16840"/>
      <w:pgMar w:top="284" w:right="1410" w:bottom="284" w:left="1134" w:header="286" w:footer="2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79" w:rsidRDefault="003F1B79">
      <w:r>
        <w:separator/>
      </w:r>
    </w:p>
  </w:endnote>
  <w:endnote w:type="continuationSeparator" w:id="0">
    <w:p w:rsidR="003F1B79" w:rsidRDefault="003F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BC" w:rsidRDefault="00A02433">
    <w:pPr>
      <w:pStyle w:val="Footer"/>
      <w:jc w:val="right"/>
    </w:pPr>
    <w:r>
      <w:fldChar w:fldCharType="begin"/>
    </w:r>
    <w:r>
      <w:instrText xml:space="preserve"> PAGE </w:instrText>
    </w:r>
    <w:r>
      <w:fldChar w:fldCharType="separate"/>
    </w:r>
    <w:r w:rsidR="00A97AA0">
      <w:rPr>
        <w:noProof/>
      </w:rPr>
      <w:t>2</w:t>
    </w:r>
    <w:r>
      <w:fldChar w:fldCharType="end"/>
    </w:r>
    <w:r>
      <w:t xml:space="preserve"> / </w:t>
    </w:r>
    <w:r>
      <w:fldChar w:fldCharType="begin"/>
    </w:r>
    <w:r>
      <w:instrText xml:space="preserve"> NUMPAGES </w:instrText>
    </w:r>
    <w:r>
      <w:fldChar w:fldCharType="separate"/>
    </w:r>
    <w:r w:rsidR="00A97AA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79" w:rsidRDefault="003F1B79">
      <w:r>
        <w:separator/>
      </w:r>
    </w:p>
  </w:footnote>
  <w:footnote w:type="continuationSeparator" w:id="0">
    <w:p w:rsidR="003F1B79" w:rsidRDefault="003F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BC" w:rsidRDefault="00A02433">
    <w:pPr>
      <w:pStyle w:val="En-t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720090</wp:posOffset>
              </wp:positionH>
              <wp:positionV relativeFrom="page">
                <wp:posOffset>360679</wp:posOffset>
              </wp:positionV>
              <wp:extent cx="575056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750560" cy="228600"/>
                      </a:xfrm>
                      <a:prstGeom prst="rect">
                        <a:avLst/>
                      </a:prstGeom>
                    </wps:spPr>
                    <wps:txbx>
                      <w:txbxContent>
                        <w:tbl>
                          <w:tblPr>
                            <w:tblW w:w="9056"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19"/>
                            <w:gridCol w:w="3018"/>
                            <w:gridCol w:w="3019"/>
                          </w:tblGrid>
                          <w:tr w:rsidR="005D1ABC">
                            <w:trPr>
                              <w:trHeight w:val="1905"/>
                            </w:trPr>
                            <w:tc>
                              <w:tcPr>
                                <w:tcW w:w="3018" w:type="dxa"/>
                                <w:tcBorders>
                                  <w:top w:val="nil"/>
                                  <w:left w:val="nil"/>
                                  <w:bottom w:val="nil"/>
                                  <w:right w:val="nil"/>
                                </w:tcBorders>
                                <w:shd w:val="clear" w:color="auto" w:fill="auto"/>
                                <w:tcMar>
                                  <w:top w:w="80" w:type="dxa"/>
                                  <w:left w:w="80" w:type="dxa"/>
                                  <w:bottom w:w="80" w:type="dxa"/>
                                  <w:right w:w="80" w:type="dxa"/>
                                </w:tcMar>
                                <w:vAlign w:val="center"/>
                              </w:tcPr>
                              <w:p w:rsidR="005D1ABC" w:rsidRDefault="00A02433">
                                <w:pPr>
                                  <w:pStyle w:val="Header"/>
                                </w:pPr>
                                <w:r>
                                  <w:rPr>
                                    <w:rFonts w:ascii="Times New Roman"/>
                                    <w:b/>
                                    <w:bCs/>
                                    <w:color w:val="808080"/>
                                    <w:sz w:val="22"/>
                                    <w:szCs w:val="22"/>
                                    <w:u w:color="808080"/>
                                  </w:rPr>
                                  <w:t>Communiqu</w:t>
                                </w:r>
                                <w:r>
                                  <w:rPr>
                                    <w:rFonts w:hAnsi="Times New Roman"/>
                                    <w:b/>
                                    <w:bCs/>
                                    <w:color w:val="808080"/>
                                    <w:sz w:val="22"/>
                                    <w:szCs w:val="22"/>
                                    <w:u w:color="808080"/>
                                  </w:rPr>
                                  <w:t>é</w:t>
                                </w:r>
                                <w:r>
                                  <w:rPr>
                                    <w:b/>
                                    <w:bCs/>
                                    <w:color w:val="808080"/>
                                    <w:sz w:val="22"/>
                                    <w:szCs w:val="22"/>
                                    <w:u w:color="808080"/>
                                  </w:rPr>
                                  <w:t xml:space="preserve"> </w:t>
                                </w:r>
                                <w:r>
                                  <w:rPr>
                                    <w:rFonts w:ascii="Times New Roman"/>
                                    <w:b/>
                                    <w:bCs/>
                                    <w:color w:val="808080"/>
                                    <w:sz w:val="22"/>
                                    <w:szCs w:val="22"/>
                                    <w:u w:color="808080"/>
                                  </w:rPr>
                                  <w:t>de presse</w:t>
                                </w:r>
                              </w:p>
                            </w:tc>
                            <w:tc>
                              <w:tcPr>
                                <w:tcW w:w="3018" w:type="dxa"/>
                                <w:tcBorders>
                                  <w:top w:val="nil"/>
                                  <w:left w:val="nil"/>
                                  <w:bottom w:val="nil"/>
                                  <w:right w:val="nil"/>
                                </w:tcBorders>
                                <w:shd w:val="clear" w:color="auto" w:fill="auto"/>
                                <w:tcMar>
                                  <w:top w:w="80" w:type="dxa"/>
                                  <w:left w:w="80" w:type="dxa"/>
                                  <w:bottom w:w="80" w:type="dxa"/>
                                  <w:right w:w="80" w:type="dxa"/>
                                </w:tcMar>
                              </w:tcPr>
                              <w:p w:rsidR="005D1ABC" w:rsidRDefault="003150CC">
                                <w:pPr>
                                  <w:pStyle w:val="Header"/>
                                  <w:jc w:val="center"/>
                                </w:pPr>
                                <w:r w:rsidRPr="003150CC">
                                  <w:rPr>
                                    <w:noProof/>
                                  </w:rPr>
                                  <w:drawing>
                                    <wp:inline distT="0" distB="0" distL="0" distR="0">
                                      <wp:extent cx="1133475" cy="1175036"/>
                                      <wp:effectExtent l="0" t="0" r="0" b="0"/>
                                      <wp:docPr id="13" name="Picture 13" descr="C:\Users\emilie.bres\Desktop\MPEN\Charte graphique dernière version\Bloc Blason\ministere_postes_economie_numer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e.bres\Desktop\MPEN\Charte graphique dernière version\Bloc Blason\ministere_postes_economie_numeri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333" cy="1188365"/>
                                              </a:xfrm>
                                              <a:prstGeom prst="rect">
                                                <a:avLst/>
                                              </a:prstGeom>
                                              <a:noFill/>
                                              <a:ln>
                                                <a:noFill/>
                                              </a:ln>
                                            </pic:spPr>
                                          </pic:pic>
                                        </a:graphicData>
                                      </a:graphic>
                                    </wp:inline>
                                  </w:drawing>
                                </w:r>
                              </w:p>
                            </w:tc>
                            <w:tc>
                              <w:tcPr>
                                <w:tcW w:w="3019" w:type="dxa"/>
                                <w:tcBorders>
                                  <w:top w:val="nil"/>
                                  <w:left w:val="nil"/>
                                  <w:bottom w:val="nil"/>
                                  <w:right w:val="nil"/>
                                </w:tcBorders>
                                <w:shd w:val="clear" w:color="auto" w:fill="auto"/>
                                <w:tcMar>
                                  <w:top w:w="80" w:type="dxa"/>
                                  <w:left w:w="80" w:type="dxa"/>
                                  <w:bottom w:w="80" w:type="dxa"/>
                                  <w:right w:w="80" w:type="dxa"/>
                                </w:tcMar>
                              </w:tcPr>
                              <w:p w:rsidR="005D1ABC" w:rsidRDefault="005D1ABC"/>
                            </w:tc>
                          </w:tr>
                        </w:tbl>
                        <w:p w:rsidR="00E269BE" w:rsidRDefault="00E269BE"/>
                      </w:txbxContent>
                    </wps:txbx>
                    <wps:bodyPr lIns="0" tIns="0" rIns="0" bIns="0">
                      <a:spAutoFit/>
                    </wps:bodyPr>
                  </wps:wsp>
                </a:graphicData>
              </a:graphic>
            </wp:anchor>
          </w:drawing>
        </mc:Choice>
        <mc:Fallback>
          <w:pict>
            <v:rect id="officeArt object" o:spid="_x0000_s1026" style="position:absolute;margin-left:56.7pt;margin-top:28.4pt;width:452.8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" filled="f" stroked="f">
              <v:textbox style="mso-fit-shape-to-text:t" inset="0,0,0,0">
                <w:txbxContent>
                  <w:tbl>
                    <w:tblPr>
                      <w:tblW w:w="9056"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19"/>
                      <w:gridCol w:w="3018"/>
                      <w:gridCol w:w="3019"/>
                    </w:tblGrid>
                    <w:tr w:rsidR="005D1ABC">
                      <w:trPr>
                        <w:trHeight w:val="1905"/>
                      </w:trPr>
                      <w:tc>
                        <w:tcPr>
                          <w:tcW w:w="3018" w:type="dxa"/>
                          <w:tcBorders>
                            <w:top w:val="nil"/>
                            <w:left w:val="nil"/>
                            <w:bottom w:val="nil"/>
                            <w:right w:val="nil"/>
                          </w:tcBorders>
                          <w:shd w:val="clear" w:color="auto" w:fill="auto"/>
                          <w:tcMar>
                            <w:top w:w="80" w:type="dxa"/>
                            <w:left w:w="80" w:type="dxa"/>
                            <w:bottom w:w="80" w:type="dxa"/>
                            <w:right w:w="80" w:type="dxa"/>
                          </w:tcMar>
                          <w:vAlign w:val="center"/>
                        </w:tcPr>
                        <w:p w:rsidR="005D1ABC" w:rsidRDefault="00A02433">
                          <w:pPr>
                            <w:pStyle w:val="Header"/>
                          </w:pPr>
                          <w:r>
                            <w:rPr>
                              <w:rFonts w:ascii="Times New Roman"/>
                              <w:b/>
                              <w:bCs/>
                              <w:color w:val="808080"/>
                              <w:sz w:val="22"/>
                              <w:szCs w:val="22"/>
                              <w:u w:color="808080"/>
                            </w:rPr>
                            <w:t>Communiqu</w:t>
                          </w:r>
                          <w:r>
                            <w:rPr>
                              <w:rFonts w:hAnsi="Times New Roman"/>
                              <w:b/>
                              <w:bCs/>
                              <w:color w:val="808080"/>
                              <w:sz w:val="22"/>
                              <w:szCs w:val="22"/>
                              <w:u w:color="808080"/>
                            </w:rPr>
                            <w:t>é</w:t>
                          </w:r>
                          <w:r>
                            <w:rPr>
                              <w:b/>
                              <w:bCs/>
                              <w:color w:val="808080"/>
                              <w:sz w:val="22"/>
                              <w:szCs w:val="22"/>
                              <w:u w:color="808080"/>
                            </w:rPr>
                            <w:t xml:space="preserve"> </w:t>
                          </w:r>
                          <w:r>
                            <w:rPr>
                              <w:rFonts w:ascii="Times New Roman"/>
                              <w:b/>
                              <w:bCs/>
                              <w:color w:val="808080"/>
                              <w:sz w:val="22"/>
                              <w:szCs w:val="22"/>
                              <w:u w:color="808080"/>
                            </w:rPr>
                            <w:t>de presse</w:t>
                          </w:r>
                        </w:p>
                      </w:tc>
                      <w:tc>
                        <w:tcPr>
                          <w:tcW w:w="3018" w:type="dxa"/>
                          <w:tcBorders>
                            <w:top w:val="nil"/>
                            <w:left w:val="nil"/>
                            <w:bottom w:val="nil"/>
                            <w:right w:val="nil"/>
                          </w:tcBorders>
                          <w:shd w:val="clear" w:color="auto" w:fill="auto"/>
                          <w:tcMar>
                            <w:top w:w="80" w:type="dxa"/>
                            <w:left w:w="80" w:type="dxa"/>
                            <w:bottom w:w="80" w:type="dxa"/>
                            <w:right w:w="80" w:type="dxa"/>
                          </w:tcMar>
                        </w:tcPr>
                        <w:p w:rsidR="005D1ABC" w:rsidRDefault="003150CC">
                          <w:pPr>
                            <w:pStyle w:val="Header"/>
                            <w:jc w:val="center"/>
                          </w:pPr>
                          <w:r w:rsidRPr="003150CC">
                            <w:rPr>
                              <w:noProof/>
                            </w:rPr>
                            <w:drawing>
                              <wp:inline distT="0" distB="0" distL="0" distR="0">
                                <wp:extent cx="1133475" cy="1175036"/>
                                <wp:effectExtent l="0" t="0" r="0" b="0"/>
                                <wp:docPr id="13" name="Picture 13" descr="C:\Users\emilie.bres\Desktop\MPEN\Charte graphique dernière version\Bloc Blason\ministere_postes_economie_numer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e.bres\Desktop\MPEN\Charte graphique dernière version\Bloc Blason\ministere_postes_economie_numeri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333" cy="1188365"/>
                                        </a:xfrm>
                                        <a:prstGeom prst="rect">
                                          <a:avLst/>
                                        </a:prstGeom>
                                        <a:noFill/>
                                        <a:ln>
                                          <a:noFill/>
                                        </a:ln>
                                      </pic:spPr>
                                    </pic:pic>
                                  </a:graphicData>
                                </a:graphic>
                              </wp:inline>
                            </w:drawing>
                          </w:r>
                        </w:p>
                      </w:tc>
                      <w:tc>
                        <w:tcPr>
                          <w:tcW w:w="3019" w:type="dxa"/>
                          <w:tcBorders>
                            <w:top w:val="nil"/>
                            <w:left w:val="nil"/>
                            <w:bottom w:val="nil"/>
                            <w:right w:val="nil"/>
                          </w:tcBorders>
                          <w:shd w:val="clear" w:color="auto" w:fill="auto"/>
                          <w:tcMar>
                            <w:top w:w="80" w:type="dxa"/>
                            <w:left w:w="80" w:type="dxa"/>
                            <w:bottom w:w="80" w:type="dxa"/>
                            <w:right w:w="80" w:type="dxa"/>
                          </w:tcMar>
                        </w:tcPr>
                        <w:p w:rsidR="005D1ABC" w:rsidRDefault="005D1ABC"/>
                      </w:tc>
                    </w:tr>
                  </w:tbl>
                  <w:p w:rsidR="00E269BE" w:rsidRDefault="00E269BE"/>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5074"/>
    <w:multiLevelType w:val="multilevel"/>
    <w:tmpl w:val="63D8B05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A6E28CA"/>
    <w:multiLevelType w:val="multilevel"/>
    <w:tmpl w:val="EB1A04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22F67722"/>
    <w:multiLevelType w:val="multilevel"/>
    <w:tmpl w:val="672EB5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2AEB2230"/>
    <w:multiLevelType w:val="multilevel"/>
    <w:tmpl w:val="6AA845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56C05385"/>
    <w:multiLevelType w:val="multilevel"/>
    <w:tmpl w:val="9A44CE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734209D4"/>
    <w:multiLevelType w:val="multilevel"/>
    <w:tmpl w:val="6BA4F6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BC"/>
    <w:rsid w:val="000A0E08"/>
    <w:rsid w:val="003150CC"/>
    <w:rsid w:val="00350919"/>
    <w:rsid w:val="003F1B79"/>
    <w:rsid w:val="005958EF"/>
    <w:rsid w:val="005D1ABC"/>
    <w:rsid w:val="00A02433"/>
    <w:rsid w:val="00A97AA0"/>
    <w:rsid w:val="00E269BE"/>
    <w:rsid w:val="00E60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BBFF2-B4DE-4A00-BD46-9E65ACAD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Arial Unicode MS" w:cs="Arial Unicode MS"/>
      <w:color w:val="000000"/>
      <w:sz w:val="24"/>
      <w:szCs w:val="24"/>
    </w:rPr>
  </w:style>
  <w:style w:type="paragraph" w:styleId="Footer">
    <w:name w:val="footer"/>
    <w:pPr>
      <w:tabs>
        <w:tab w:val="center" w:pos="4536"/>
        <w:tab w:val="right" w:pos="9072"/>
      </w:tabs>
    </w:pPr>
    <w:rPr>
      <w:rFonts w:hAnsi="Arial Unicode MS" w:cs="Arial Unicode MS"/>
      <w:color w:val="000000"/>
      <w:sz w:val="24"/>
      <w:szCs w:val="24"/>
      <w:u w:color="000000"/>
      <w:lang w:val="en-US"/>
    </w:rPr>
  </w:style>
  <w:style w:type="paragraph" w:styleId="Header">
    <w:name w:val="header"/>
    <w:pPr>
      <w:tabs>
        <w:tab w:val="center" w:pos="4536"/>
        <w:tab w:val="right" w:pos="9072"/>
      </w:tabs>
    </w:pPr>
    <w:rPr>
      <w:rFonts w:ascii="Cambria" w:eastAsia="Cambria" w:hAnsi="Cambria" w:cs="Cambria"/>
      <w:color w:val="000000"/>
      <w:sz w:val="24"/>
      <w:szCs w:val="24"/>
      <w:u w:color="000000"/>
    </w:rPr>
  </w:style>
  <w:style w:type="paragraph" w:customStyle="1" w:styleId="CorpsA">
    <w:name w:val="Corps A"/>
    <w:rPr>
      <w:rFonts w:ascii="Cambria" w:eastAsia="Cambria" w:hAnsi="Cambria" w:cs="Cambria"/>
      <w:color w:val="000000"/>
      <w:sz w:val="24"/>
      <w:szCs w:val="24"/>
      <w:u w:color="000000"/>
    </w:rPr>
  </w:style>
  <w:style w:type="character" w:customStyle="1" w:styleId="Lien">
    <w:name w:val="Lien"/>
    <w:rPr>
      <w:u w:val="single"/>
    </w:rPr>
  </w:style>
  <w:style w:type="character" w:customStyle="1" w:styleId="Hyperlink0">
    <w:name w:val="Hyperlink.0"/>
    <w:basedOn w:val="Lien"/>
    <w:rPr>
      <w:u w:val="none"/>
    </w:rPr>
  </w:style>
  <w:style w:type="numbering" w:customStyle="1" w:styleId="List0">
    <w:name w:val="List 0"/>
    <w:basedOn w:val="Style1import"/>
    <w:pPr>
      <w:numPr>
        <w:numId w:val="6"/>
      </w:numPr>
    </w:pPr>
  </w:style>
  <w:style w:type="numbering" w:customStyle="1" w:styleId="Style1import">
    <w:name w:val="Style 1 importé"/>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BRES</dc:creator>
  <cp:lastModifiedBy>Emilie BRES</cp:lastModifiedBy>
  <cp:revision>3</cp:revision>
  <dcterms:created xsi:type="dcterms:W3CDTF">2017-05-19T19:23:00Z</dcterms:created>
  <dcterms:modified xsi:type="dcterms:W3CDTF">2017-05-22T15:08:00Z</dcterms:modified>
</cp:coreProperties>
</file>